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Georgia" w:hAnsi="Georgia"/>
          <w:b/>
          <w:color w:val="0F172A"/>
          <w:sz w:val="32"/>
        </w:rPr>
        <w:t>SUMBANGAN KITAB AL-MUNTALAQ DALAM PEMBINAAN UMMAH FADHILAH, KUASA NASIONAL &amp; PERADABAN BARU ISLAM</w:t>
      </w:r>
    </w:p>
    <w:p>
      <w:pPr>
        <w:spacing w:before="0" w:after="280"/>
        <w:jc w:val="center"/>
      </w:pPr>
      <w:r>
        <w:rPr>
          <w:rFonts w:ascii="Georgia" w:hAnsi="Georgia"/>
          <w:i/>
          <w:color w:val="0284C7"/>
          <w:sz w:val="24"/>
        </w:rPr>
        <w:t>Titik Tolak Fikrah, Keaslian Syariat &amp; Transformasi Muslih Haraki</w:t>
      </w:r>
    </w:p>
    <w:p>
      <w:pPr>
        <w:spacing w:after="360"/>
        <w:jc w:val="center"/>
      </w:pPr>
      <w:r>
        <w:rPr>
          <w:rFonts w:ascii="Calibri" w:hAnsi="Calibri"/>
          <w:color w:val="64748B"/>
          <w:sz w:val="19"/>
        </w:rPr>
        <w:t>Karya Asal: As-Syeikh Muhammad Ahmad al-Rasyid (رحمه الله)</w:t>
        <w:br/>
        <w:t>Dokumen Khas Modul Web PWA &amp; Bot Telegram Al-Muntalaq</w:t>
      </w:r>
    </w:p>
    <w:p>
      <w:pPr>
        <w:spacing w:after="240"/>
        <w:jc w:val="center"/>
      </w:pPr>
      <w:r>
        <w:rPr>
          <w:color w:val="CBD5E1"/>
        </w:rPr>
        <w:t>―――――――――――――――――――――――――――――――――――――――――――――――――――――――</w:t>
      </w:r>
    </w:p>
    <w:p>
      <w:pPr>
        <w:spacing w:before="240" w:after="120"/>
      </w:pPr>
      <w:r>
        <w:rPr>
          <w:rFonts w:ascii="Georgia" w:hAnsi="Georgia"/>
          <w:b/>
          <w:color w:val="0F172A"/>
          <w:sz w:val="26"/>
        </w:rPr>
        <w:t>1. Kedudukan Al-Muntalaq dalam Strategi Peradaban 100 Tahun Kedua</w:t>
      </w:r>
    </w:p>
    <w:p>
      <w:pPr>
        <w:spacing w:line="276" w:lineRule="auto" w:after="200"/>
      </w:pPr>
      <w:r>
        <w:rPr>
          <w:rFonts w:ascii="Calibri" w:hAnsi="Calibri"/>
          <w:sz w:val="22"/>
        </w:rPr>
        <w:t>Kitab Al-Muntalaq (Titik Tolak) adalah asas paling fundamental kepada Fiqh al-Da'wah wa al-Harakah. Syeikh al-Rasyid meletakkan karya ini untuk menjawab persoalan mutlak: 'Dari mana dan atas asas apa kita bermula?'</w:t>
        <w:br/>
        <w:br/>
        <w:t>Dalam membina Ummah Fadhilah ke arah Kuasa Nasional, Al-Muntalaq memastikan bahawa kebangkitan umat tidak meniru acuan ideologi Barat (liberalisme dan sekularisme), sebaliknya bermula daripada ketulenan wahyu dan keaslian syariat (al-aṣālah) serta penyerahan mutlak hanya kepada Allah SWT.</w:t>
      </w:r>
    </w:p>
    <w:p>
      <w:pPr>
        <w:spacing w:before="280" w:after="160"/>
      </w:pPr>
      <w:r>
        <w:rPr>
          <w:rFonts w:ascii="Georgia" w:hAnsi="Georgia"/>
          <w:b/>
          <w:color w:val="0F172A"/>
          <w:sz w:val="26"/>
        </w:rPr>
        <w:t>2. Teras Sumbangan Al-Muntalaq dalam Pembinaan Kuasa Watan</w:t>
      </w:r>
    </w:p>
    <w:p>
      <w:pPr>
        <w:spacing w:before="160" w:after="40"/>
      </w:pPr>
      <w:r>
        <w:rPr>
          <w:rFonts w:ascii="Calibri" w:hAnsi="Calibri"/>
          <w:b/>
          <w:color w:val="1E293B"/>
          <w:sz w:val="22"/>
        </w:rPr>
        <w:t xml:space="preserve">• 1. Menolak Hawa Nafsu Sebagai Asas Kenegaraan (Bab 1) </w:t>
      </w:r>
      <w:r>
        <w:rPr>
          <w:rFonts w:ascii="Calibri" w:hAnsi="Calibri"/>
          <w:color w:val="0284C7"/>
          <w:sz w:val="19"/>
        </w:rPr>
        <w:t>[Prinsip Penyerahan Mutlak (At-Taslīm)]</w:t>
      </w:r>
    </w:p>
    <w:p>
      <w:pPr>
        <w:spacing w:line="276" w:lineRule="auto" w:after="120"/>
        <w:ind w:left="360"/>
      </w:pPr>
      <w:r>
        <w:rPr>
          <w:rFonts w:ascii="Calibri" w:hAnsi="Calibri"/>
          <w:color w:val="475569"/>
          <w:sz w:val="21"/>
        </w:rPr>
        <w:t>Falsafah Barat menobatkan kebebasan hawa nafsu sebagai tuhan penentu dasar kenegaraan. Al-Muntalaq menegaskan bahawa kebangkitan Ummah Fadhilah wajib bermula dengan penolakan mutlak terhadap hawa nafsu moden. Menetapkan prinsip penyerahan mutlak kepada syariat Allah sebagai asas Tonggak 1 Kuasa Nasional (Tasawur &amp; Akidah).</w:t>
      </w:r>
    </w:p>
    <w:p>
      <w:pPr>
        <w:spacing w:before="160" w:after="40"/>
      </w:pPr>
      <w:r>
        <w:rPr>
          <w:rFonts w:ascii="Calibri" w:hAnsi="Calibri"/>
          <w:b/>
          <w:color w:val="1E293B"/>
          <w:sz w:val="22"/>
        </w:rPr>
        <w:t xml:space="preserve">• 2. Fiqh Ibtila' dan Keyakinan kepada Kemenangan (Bab 2) </w:t>
      </w:r>
      <w:r>
        <w:rPr>
          <w:rFonts w:ascii="Calibri" w:hAnsi="Calibri"/>
          <w:color w:val="0284C7"/>
          <w:sz w:val="19"/>
        </w:rPr>
        <w:t>[Gerhana Bukan Terbenamnya Matahari]</w:t>
      </w:r>
    </w:p>
    <w:p>
      <w:pPr>
        <w:spacing w:line="276" w:lineRule="auto" w:after="120"/>
        <w:ind w:left="360"/>
      </w:pPr>
      <w:r>
        <w:rPr>
          <w:rFonts w:ascii="Calibri" w:hAnsi="Calibri"/>
          <w:color w:val="475569"/>
          <w:sz w:val="21"/>
        </w:rPr>
        <w:t>Mendidik aktivis bahawa tekanan musuh, fitnah geopolitik, dan kejatuhan kuasa 1924 bukanlah penamat sejarah. Menolak penyakit putus asa (al-ya's) dan menyuburkan keyakinan teguh kepada janji pertolongan Allah (al-thiqah billāh).</w:t>
      </w:r>
    </w:p>
    <w:p>
      <w:pPr>
        <w:spacing w:before="160" w:after="40"/>
      </w:pPr>
      <w:r>
        <w:rPr>
          <w:rFonts w:ascii="Calibri" w:hAnsi="Calibri"/>
          <w:b/>
          <w:color w:val="1E293B"/>
          <w:sz w:val="22"/>
        </w:rPr>
        <w:t xml:space="preserve">• 3. Transformasi Daripada 'Soleh' Kepada 'Muslih Haraki' (Bab 3) </w:t>
      </w:r>
      <w:r>
        <w:rPr>
          <w:rFonts w:ascii="Calibri" w:hAnsi="Calibri"/>
          <w:color w:val="0284C7"/>
          <w:sz w:val="19"/>
        </w:rPr>
        <w:t>[Orang-Orang Baik yang Binasa]</w:t>
      </w:r>
    </w:p>
    <w:p>
      <w:pPr>
        <w:spacing w:line="276" w:lineRule="auto" w:after="120"/>
        <w:ind w:left="360"/>
      </w:pPr>
      <w:r>
        <w:rPr>
          <w:rFonts w:ascii="Calibri" w:hAnsi="Calibri"/>
          <w:color w:val="475569"/>
          <w:sz w:val="21"/>
        </w:rPr>
        <w:t>Menggariskan hukum sosiologi al-Quran: kebaikan yang berselerak pasti dikalahkan oleh kebatilan yang tersusun rapi. Ummah Fadhilah menolak fahaman kesolehan pasif yang mementingkan diri sendiri. Yang dituntut ialah menjadi muslih yang berdisiplin di dalam satu saf tanzim yang padu (Tonggak 5: Kesatuan Ummah).</w:t>
      </w:r>
    </w:p>
    <w:p>
      <w:pPr>
        <w:spacing w:before="160" w:after="40"/>
      </w:pPr>
      <w:r>
        <w:rPr>
          <w:rFonts w:ascii="Calibri" w:hAnsi="Calibri"/>
          <w:b/>
          <w:color w:val="1E293B"/>
          <w:sz w:val="22"/>
        </w:rPr>
        <w:t xml:space="preserve">• 4. Fardhu Dakwah Penjamin Keselamatan Watan (Bab 4) </w:t>
      </w:r>
      <w:r>
        <w:rPr>
          <w:rFonts w:ascii="Calibri" w:hAnsi="Calibri"/>
          <w:color w:val="0284C7"/>
          <w:sz w:val="19"/>
        </w:rPr>
        <w:t>[Pencegah Azab &amp; Kerosakan Tamadun]</w:t>
      </w:r>
    </w:p>
    <w:p>
      <w:pPr>
        <w:spacing w:line="276" w:lineRule="auto" w:after="120"/>
        <w:ind w:left="360"/>
      </w:pPr>
      <w:r>
        <w:rPr>
          <w:rFonts w:ascii="Calibri" w:hAnsi="Calibri"/>
          <w:color w:val="475569"/>
          <w:sz w:val="21"/>
        </w:rPr>
        <w:t>Dakwah amar makruf nahi mungkar adalah fardhu syarak penjamin keamanan dan keberkatan watan. Apabila budaya menegur kesilapan terhenti, kerosakan moral akan membiak dan mengundang bala kemusnahan sosial. Dakwah adalah nadi membina Khaira Ummah.</w:t>
      </w:r>
    </w:p>
    <w:p>
      <w:pPr>
        <w:spacing w:before="160" w:after="40"/>
      </w:pPr>
      <w:r>
        <w:rPr>
          <w:rFonts w:ascii="Calibri" w:hAnsi="Calibri"/>
          <w:b/>
          <w:color w:val="1E293B"/>
          <w:sz w:val="22"/>
        </w:rPr>
        <w:t xml:space="preserve">• 5. Menolak Sikap Bermain-main Dalam Perjuangan (Bab 5) </w:t>
      </w:r>
      <w:r>
        <w:rPr>
          <w:rFonts w:ascii="Calibri" w:hAnsi="Calibri"/>
          <w:color w:val="0284C7"/>
          <w:sz w:val="19"/>
        </w:rPr>
        <w:t>[Ahli Ibadah yang Bermain-main]</w:t>
      </w:r>
    </w:p>
    <w:p>
      <w:pPr>
        <w:spacing w:line="276" w:lineRule="auto" w:after="120"/>
        <w:ind w:left="360"/>
      </w:pPr>
      <w:r>
        <w:rPr>
          <w:rFonts w:ascii="Calibri" w:hAnsi="Calibri"/>
          <w:color w:val="475569"/>
          <w:sz w:val="21"/>
        </w:rPr>
        <w:t>Memberi amaran keras terhadap sikap mengambil mudah urusan perjuangan Islam, membuang masa, atau memperalatkan dakwah demi kepentingan peribadi. Menuntut kesungguhan penuh dalam memikul amanah kebangkitan watan.</w:t>
      </w:r>
    </w:p>
    <w:p>
      <w:pPr>
        <w:spacing w:before="280" w:after="160"/>
      </w:pPr>
      <w:r>
        <w:rPr>
          <w:rFonts w:ascii="Georgia" w:hAnsi="Georgia"/>
          <w:b/>
          <w:color w:val="0F172A"/>
          <w:sz w:val="26"/>
        </w:rPr>
        <w:t>3. Pemetaan Sumbangan Al-Muntalaq dengan Lapan (8) Tonggak Kuasa Nasional</w:t>
      </w:r>
    </w:p>
    <w:tbl>
      <w:tblPr>
        <w:tblW w:type="auto" w:w="0"/>
        <w:jc w:val="center"/>
        <w:tblLayout w:type="fixed"/>
        <w:tblLook w:firstColumn="1" w:firstRow="1" w:lastColumn="0" w:lastRow="0" w:noHBand="0" w:noVBand="1" w:val="04A0"/>
      </w:tblPr>
      <w:tblGrid>
        <w:gridCol w:w="3120"/>
        <w:gridCol w:w="3120"/>
        <w:gridCol w:w="3120"/>
      </w:tblGrid>
      <w:tr>
        <w:tc>
          <w:tcPr>
            <w:tcW w:type="dxa" w:w="2592"/>
            <w:shd w:fill="0F172A"/>
            <w:tcMar>
              <w:top w:w="120" w:type="dxa"/>
              <w:bottom w:w="120" w:type="dxa"/>
              <w:left w:w="150" w:type="dxa"/>
              <w:right w:w="150" w:type="dxa"/>
            </w:tcMar>
          </w:tcPr>
          <w:p>
            <w:r>
              <w:rPr>
                <w:rFonts w:ascii="Calibri" w:hAnsi="Calibri"/>
                <w:b/>
                <w:color w:val="FFFFFF"/>
                <w:sz w:val="20"/>
              </w:rPr>
              <w:t>Tonggak Terlibat</w:t>
            </w:r>
          </w:p>
        </w:tc>
        <w:tc>
          <w:tcPr>
            <w:tcW w:type="dxa" w:w="2592"/>
            <w:shd w:fill="0F172A"/>
            <w:tcMar>
              <w:top w:w="120" w:type="dxa"/>
              <w:bottom w:w="120" w:type="dxa"/>
              <w:left w:w="150" w:type="dxa"/>
              <w:right w:w="150" w:type="dxa"/>
            </w:tcMar>
          </w:tcPr>
          <w:p>
            <w:r>
              <w:rPr>
                <w:rFonts w:ascii="Calibri" w:hAnsi="Calibri"/>
                <w:b/>
                <w:color w:val="FFFFFF"/>
                <w:sz w:val="20"/>
              </w:rPr>
              <w:t>Fokus Utama Al-Muntalaq</w:t>
            </w:r>
          </w:p>
        </w:tc>
        <w:tc>
          <w:tcPr>
            <w:tcW w:type="dxa" w:w="4176"/>
            <w:shd w:fill="0F172A"/>
            <w:tcMar>
              <w:top w:w="120" w:type="dxa"/>
              <w:bottom w:w="120" w:type="dxa"/>
              <w:left w:w="150" w:type="dxa"/>
              <w:right w:w="150" w:type="dxa"/>
            </w:tcMar>
          </w:tcPr>
          <w:p>
            <w:r>
              <w:rPr>
                <w:rFonts w:ascii="Calibri" w:hAnsi="Calibri"/>
                <w:b/>
                <w:color w:val="FFFFFF"/>
                <w:sz w:val="20"/>
              </w:rPr>
              <w:t>Impak Strategik Terhadap Watan</w:t>
            </w:r>
          </w:p>
        </w:tc>
      </w:tr>
      <w:tr>
        <w:tc>
          <w:tcPr>
            <w:tcW w:type="dxa" w:w="2592"/>
            <w:shd w:fill="F8FAFC"/>
            <w:tcMar>
              <w:top w:w="100" w:type="dxa"/>
              <w:bottom w:w="100" w:type="dxa"/>
              <w:left w:w="140" w:type="dxa"/>
              <w:right w:w="140" w:type="dxa"/>
            </w:tcMar>
          </w:tcPr>
          <w:p>
            <w:r>
              <w:rPr>
                <w:rFonts w:ascii="Calibri" w:hAnsi="Calibri"/>
                <w:color w:val="1E293B"/>
                <w:sz w:val="19"/>
              </w:rPr>
              <w:t>Tonggak 1: Tasawur &amp; Akidah</w:t>
            </w:r>
          </w:p>
        </w:tc>
        <w:tc>
          <w:tcPr>
            <w:tcW w:type="dxa" w:w="2592"/>
            <w:shd w:fill="F8FAFC"/>
            <w:tcMar>
              <w:top w:w="100" w:type="dxa"/>
              <w:bottom w:w="100" w:type="dxa"/>
              <w:left w:w="140" w:type="dxa"/>
              <w:right w:w="140" w:type="dxa"/>
            </w:tcMar>
          </w:tcPr>
          <w:p>
            <w:r>
              <w:rPr>
                <w:rFonts w:ascii="Calibri" w:hAnsi="Calibri"/>
                <w:color w:val="1E293B"/>
                <w:sz w:val="19"/>
              </w:rPr>
              <w:t>Memurnikan Akidah daripada Hawa Nafsu</w:t>
            </w:r>
          </w:p>
        </w:tc>
        <w:tc>
          <w:tcPr>
            <w:tcW w:type="dxa" w:w="4176"/>
            <w:shd w:fill="F8FAFC"/>
            <w:tcMar>
              <w:top w:w="100" w:type="dxa"/>
              <w:bottom w:w="100" w:type="dxa"/>
              <w:left w:w="140" w:type="dxa"/>
              <w:right w:w="140" w:type="dxa"/>
            </w:tcMar>
          </w:tcPr>
          <w:p>
            <w:r>
              <w:rPr>
                <w:rFonts w:ascii="Calibri" w:hAnsi="Calibri"/>
                <w:color w:val="1E293B"/>
                <w:sz w:val="19"/>
              </w:rPr>
              <w:t>Memastikan falsafah kenegaraan berpaksikan wahyu mutlak dan keaslian syariat.</w:t>
            </w:r>
          </w:p>
        </w:tc>
      </w:tr>
      <w:tr>
        <w:tc>
          <w:tcPr>
            <w:tcW w:type="dxa" w:w="2592"/>
            <w:shd w:fill="FFFFFF"/>
            <w:tcMar>
              <w:top w:w="100" w:type="dxa"/>
              <w:bottom w:w="100" w:type="dxa"/>
              <w:left w:w="140" w:type="dxa"/>
              <w:right w:w="140" w:type="dxa"/>
            </w:tcMar>
          </w:tcPr>
          <w:p>
            <w:r>
              <w:rPr>
                <w:rFonts w:ascii="Calibri" w:hAnsi="Calibri"/>
                <w:color w:val="1E293B"/>
                <w:sz w:val="19"/>
              </w:rPr>
              <w:t>Tonggak 5: Kesatuan Ummah</w:t>
            </w:r>
          </w:p>
        </w:tc>
        <w:tc>
          <w:tcPr>
            <w:tcW w:type="dxa" w:w="2592"/>
            <w:shd w:fill="FFFFFF"/>
            <w:tcMar>
              <w:top w:w="100" w:type="dxa"/>
              <w:bottom w:w="100" w:type="dxa"/>
              <w:left w:w="140" w:type="dxa"/>
              <w:right w:w="140" w:type="dxa"/>
            </w:tcMar>
          </w:tcPr>
          <w:p>
            <w:r>
              <w:rPr>
                <w:rFonts w:ascii="Calibri" w:hAnsi="Calibri"/>
                <w:color w:val="1E293B"/>
                <w:sz w:val="19"/>
              </w:rPr>
              <w:t>Menggembleng Saf Muslih</w:t>
            </w:r>
          </w:p>
        </w:tc>
        <w:tc>
          <w:tcPr>
            <w:tcW w:type="dxa" w:w="4176"/>
            <w:shd w:fill="FFFFFF"/>
            <w:tcMar>
              <w:top w:w="100" w:type="dxa"/>
              <w:bottom w:w="100" w:type="dxa"/>
              <w:left w:w="140" w:type="dxa"/>
              <w:right w:w="140" w:type="dxa"/>
            </w:tcMar>
          </w:tcPr>
          <w:p>
            <w:r>
              <w:rPr>
                <w:rFonts w:ascii="Calibri" w:hAnsi="Calibri"/>
                <w:color w:val="1E293B"/>
                <w:sz w:val="19"/>
              </w:rPr>
              <w:t>Mentransformasikan kesolehan individu kepada kekuatan tanzim yang tersusun rapi.</w:t>
            </w:r>
          </w:p>
        </w:tc>
      </w:tr>
      <w:tr>
        <w:tc>
          <w:tcPr>
            <w:tcW w:type="dxa" w:w="2592"/>
            <w:shd w:fill="F8FAFC"/>
            <w:tcMar>
              <w:top w:w="100" w:type="dxa"/>
              <w:bottom w:w="100" w:type="dxa"/>
              <w:left w:w="140" w:type="dxa"/>
              <w:right w:w="140" w:type="dxa"/>
            </w:tcMar>
          </w:tcPr>
          <w:p>
            <w:r>
              <w:rPr>
                <w:rFonts w:ascii="Calibri" w:hAnsi="Calibri"/>
                <w:color w:val="1E293B"/>
                <w:sz w:val="19"/>
              </w:rPr>
              <w:t>Tonggak 8: Integriti &amp; Akhlak</w:t>
            </w:r>
          </w:p>
        </w:tc>
        <w:tc>
          <w:tcPr>
            <w:tcW w:type="dxa" w:w="2592"/>
            <w:shd w:fill="F8FAFC"/>
            <w:tcMar>
              <w:top w:w="100" w:type="dxa"/>
              <w:bottom w:w="100" w:type="dxa"/>
              <w:left w:w="140" w:type="dxa"/>
              <w:right w:w="140" w:type="dxa"/>
            </w:tcMar>
          </w:tcPr>
          <w:p>
            <w:r>
              <w:rPr>
                <w:rFonts w:ascii="Calibri" w:hAnsi="Calibri"/>
                <w:color w:val="1E293B"/>
                <w:sz w:val="19"/>
              </w:rPr>
              <w:t>Fardhu Dakwah Amar Makruf</w:t>
            </w:r>
          </w:p>
        </w:tc>
        <w:tc>
          <w:tcPr>
            <w:tcW w:type="dxa" w:w="4176"/>
            <w:shd w:fill="F8FAFC"/>
            <w:tcMar>
              <w:top w:w="100" w:type="dxa"/>
              <w:bottom w:w="100" w:type="dxa"/>
              <w:left w:w="140" w:type="dxa"/>
              <w:right w:w="140" w:type="dxa"/>
            </w:tcMar>
          </w:tcPr>
          <w:p>
            <w:r>
              <w:rPr>
                <w:rFonts w:ascii="Calibri" w:hAnsi="Calibri"/>
                <w:color w:val="1E293B"/>
                <w:sz w:val="19"/>
              </w:rPr>
              <w:t>Menjamin benteng moral masyarakat terpelihara daripada kerosakan liberalisme.</w:t>
            </w:r>
          </w:p>
        </w:tc>
      </w:tr>
    </w:tbl>
    <w:p>
      <w:pPr>
        <w:spacing w:before="320" w:after="120"/>
      </w:pPr>
      <w:r>
        <w:rPr>
          <w:rFonts w:ascii="Georgia" w:hAnsi="Georgia"/>
          <w:b/>
          <w:color w:val="0F172A"/>
          <w:sz w:val="26"/>
        </w:rPr>
        <w:t>4. Kunci Amal Pejuang Membina Ummah Fadhilah</w:t>
      </w:r>
    </w:p>
    <w:p>
      <w:pPr>
        <w:spacing w:after="80"/>
        <w:ind w:left="288"/>
      </w:pPr>
      <w:r>
        <w:rPr>
          <w:rFonts w:ascii="Calibri" w:hAnsi="Calibri"/>
          <w:b/>
          <w:color w:val="0284C7"/>
          <w:sz w:val="21"/>
        </w:rPr>
        <w:t xml:space="preserve">🔑 Kunci Amal 1: </w:t>
      </w:r>
      <w:r>
        <w:rPr>
          <w:rFonts w:ascii="Calibri" w:hAnsi="Calibri"/>
          <w:color w:val="334155"/>
          <w:sz w:val="21"/>
        </w:rPr>
        <w:t>Mulakan setiap langkah perubahan dengan menyucikan niat daripada hawa nafsu dan mencari keredaan Allah semata-mata.</w:t>
      </w:r>
    </w:p>
    <w:p>
      <w:pPr>
        <w:spacing w:after="80"/>
        <w:ind w:left="288"/>
      </w:pPr>
      <w:r>
        <w:rPr>
          <w:rFonts w:ascii="Calibri" w:hAnsi="Calibri"/>
          <w:b/>
          <w:color w:val="0284C7"/>
          <w:sz w:val="21"/>
        </w:rPr>
        <w:t xml:space="preserve">🔑 Kunci Amal 2: </w:t>
      </w:r>
      <w:r>
        <w:rPr>
          <w:rFonts w:ascii="Calibri" w:hAnsi="Calibri"/>
          <w:color w:val="334155"/>
          <w:sz w:val="21"/>
        </w:rPr>
        <w:t>Jangan berpuas hati dengan kesolehan peribadi di rumah; sertailah saf kebaikan tersusun untuk membaiki masyarakat.</w:t>
      </w:r>
    </w:p>
    <w:p>
      <w:pPr>
        <w:spacing w:after="80"/>
        <w:ind w:left="288"/>
      </w:pPr>
      <w:r>
        <w:rPr>
          <w:rFonts w:ascii="Calibri" w:hAnsi="Calibri"/>
          <w:b/>
          <w:color w:val="0284C7"/>
          <w:sz w:val="21"/>
        </w:rPr>
        <w:t xml:space="preserve">🔑 Kunci Amal 3: </w:t>
      </w:r>
      <w:r>
        <w:rPr>
          <w:rFonts w:ascii="Calibri" w:hAnsi="Calibri"/>
          <w:color w:val="334155"/>
          <w:sz w:val="21"/>
        </w:rPr>
        <w:t>Pelihara budaya menegur kesilapan dan berpesan-pesan dengan kebenaran demi menjamin keberkatan watan.</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78909C"/>
        <w:sz w:val="17"/>
      </w:rPr>
      <w:t>Dokumen Khas Siri 1: Al-Muntalaq • Titik Tolak Fikrah &amp; Keaslian Syariat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